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C803D" w14:textId="77777777" w:rsidR="00CD5768" w:rsidRDefault="000600B4">
      <w:pPr>
        <w:pStyle w:val="a7"/>
        <w:jc w:val="center"/>
        <w:rPr>
          <w:rFonts w:ascii="游明朝" w:eastAsia="游明朝" w:hAnsi="游明朝"/>
          <w:b/>
          <w:sz w:val="24"/>
        </w:rPr>
      </w:pPr>
      <w:r>
        <w:rPr>
          <w:rFonts w:ascii="游明朝" w:eastAsia="游明朝" w:hAnsi="游明朝" w:hint="eastAsia"/>
          <w:b/>
          <w:sz w:val="24"/>
        </w:rPr>
        <w:t>利害関係の確認について</w:t>
      </w:r>
    </w:p>
    <w:p w14:paraId="4CAC803E" w14:textId="77777777" w:rsidR="00CD5768" w:rsidRDefault="00CD5768">
      <w:pPr>
        <w:pStyle w:val="a7"/>
        <w:jc w:val="center"/>
        <w:rPr>
          <w:rFonts w:ascii="游明朝" w:eastAsia="游明朝" w:hAnsi="游明朝"/>
          <w:sz w:val="24"/>
        </w:rPr>
      </w:pPr>
    </w:p>
    <w:p w14:paraId="4CAC803F" w14:textId="77777777" w:rsidR="00CD5768" w:rsidRDefault="000600B4">
      <w:pPr>
        <w:pStyle w:val="af"/>
        <w:numPr>
          <w:ilvl w:val="0"/>
          <w:numId w:val="1"/>
        </w:numPr>
        <w:ind w:leftChars="0" w:left="420"/>
        <w:rPr>
          <w:rFonts w:ascii="游明朝" w:eastAsia="游明朝" w:hAnsi="游明朝"/>
        </w:rPr>
      </w:pPr>
      <w:r>
        <w:rPr>
          <w:rFonts w:ascii="游明朝" w:eastAsia="游明朝" w:hAnsi="游明朝" w:hint="eastAsia"/>
        </w:rPr>
        <w:t>静岡県は、採択審査に当たり採択審査委員会を開催します。この採択審査委員会では公正な審査を行うことはもちろん、知り得た提案情報についても審査以外の目的に利用することを禁じております。</w:t>
      </w:r>
    </w:p>
    <w:p w14:paraId="4CAC8040" w14:textId="77777777" w:rsidR="00CD5768" w:rsidRDefault="000600B4">
      <w:pPr>
        <w:pStyle w:val="af"/>
        <w:numPr>
          <w:ilvl w:val="0"/>
          <w:numId w:val="1"/>
        </w:numPr>
        <w:ind w:leftChars="0" w:left="420"/>
        <w:rPr>
          <w:rFonts w:ascii="游明朝" w:eastAsia="游明朝" w:hAnsi="游明朝"/>
        </w:rPr>
      </w:pPr>
      <w:r>
        <w:rPr>
          <w:rFonts w:ascii="游明朝" w:eastAsia="游明朝" w:hAnsi="游明朝" w:hint="eastAsia"/>
        </w:rPr>
        <w:t>さらに、採択審査委員の選定段階で、静岡県は利害関係者を排除すべく細心の注意を払っているところですが、さらに採択審査委員本人にも事前に確認を求め、より公平・公正な審査の徹底を図ることといたしております。</w:t>
      </w:r>
    </w:p>
    <w:p w14:paraId="4CAC8041" w14:textId="77777777" w:rsidR="00CD5768" w:rsidRDefault="000600B4">
      <w:pPr>
        <w:pStyle w:val="af"/>
        <w:numPr>
          <w:ilvl w:val="0"/>
          <w:numId w:val="1"/>
        </w:numPr>
        <w:ind w:leftChars="0" w:left="420"/>
        <w:rPr>
          <w:rFonts w:ascii="游明朝" w:eastAsia="游明朝" w:hAnsi="游明朝"/>
        </w:rPr>
      </w:pPr>
      <w:r>
        <w:rPr>
          <w:rFonts w:ascii="游明朝" w:eastAsia="游明朝" w:hAnsi="游明朝" w:hint="eastAsia"/>
        </w:rPr>
        <w:t>そのため、本事業の申請に係る提出書類一式を採択審査委員に提示し、自らが利害関係者に当たるかどうか、の判断を促しますのでご了承下さい。</w:t>
      </w:r>
    </w:p>
    <w:p w14:paraId="4CAC8042" w14:textId="77777777" w:rsidR="00CD5768" w:rsidRDefault="000600B4">
      <w:pPr>
        <w:pStyle w:val="af"/>
        <w:numPr>
          <w:ilvl w:val="0"/>
          <w:numId w:val="1"/>
        </w:numPr>
        <w:ind w:leftChars="0" w:left="420"/>
        <w:rPr>
          <w:rFonts w:ascii="游明朝" w:eastAsia="游明朝" w:hAnsi="游明朝"/>
        </w:rPr>
      </w:pPr>
      <w:r>
        <w:rPr>
          <w:rFonts w:ascii="游明朝" w:eastAsia="游明朝" w:hAnsi="游明朝" w:hint="eastAsia"/>
        </w:rPr>
        <w:t>また、静岡県が採択審査委員を選定する上で、利害関係者とお考えになる者がいらっしゃる場合には、下記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4CAC8044" w14:textId="77777777" w:rsidR="00CD5768" w:rsidRDefault="00CD5768">
      <w:pPr>
        <w:pStyle w:val="af"/>
        <w:ind w:leftChars="0" w:left="0"/>
        <w:rPr>
          <w:rFonts w:ascii="游明朝" w:eastAsia="游明朝" w:hAnsi="游明朝"/>
        </w:rPr>
      </w:pPr>
    </w:p>
    <w:tbl>
      <w:tblPr>
        <w:tblW w:w="8300"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00"/>
      </w:tblGrid>
      <w:tr w:rsidR="00CD5768" w14:paraId="4CAC8055" w14:textId="77777777">
        <w:trPr>
          <w:trHeight w:val="2288"/>
        </w:trPr>
        <w:tc>
          <w:tcPr>
            <w:tcW w:w="9247" w:type="dxa"/>
          </w:tcPr>
          <w:p w14:paraId="4CAC8045" w14:textId="77777777" w:rsidR="00CD5768" w:rsidRDefault="000600B4">
            <w:pPr>
              <w:pStyle w:val="af"/>
              <w:ind w:leftChars="0" w:left="0"/>
              <w:rPr>
                <w:rFonts w:ascii="游明朝" w:eastAsia="游明朝" w:hAnsi="游明朝"/>
              </w:rPr>
            </w:pPr>
            <w:r>
              <w:rPr>
                <w:rFonts w:ascii="游明朝" w:eastAsia="游明朝" w:hAnsi="游明朝" w:hint="eastAsia"/>
              </w:rPr>
              <w:t>（利害関係者候補者等、備考欄）</w:t>
            </w:r>
          </w:p>
          <w:p w14:paraId="4CAC8046" w14:textId="77777777" w:rsidR="00CD5768" w:rsidRDefault="00CD5768">
            <w:pPr>
              <w:pStyle w:val="af"/>
              <w:ind w:leftChars="0" w:left="0"/>
              <w:rPr>
                <w:rFonts w:ascii="游明朝" w:eastAsia="游明朝" w:hAnsi="游明朝"/>
              </w:rPr>
            </w:pPr>
          </w:p>
          <w:p w14:paraId="4CAC804E" w14:textId="77777777" w:rsidR="00CD5768" w:rsidRDefault="00CD5768">
            <w:pPr>
              <w:pStyle w:val="af"/>
              <w:ind w:leftChars="0" w:left="0"/>
              <w:rPr>
                <w:rFonts w:ascii="游明朝" w:eastAsia="游明朝" w:hAnsi="游明朝"/>
              </w:rPr>
            </w:pPr>
          </w:p>
          <w:p w14:paraId="2A8597B6" w14:textId="77777777" w:rsidR="000600B4" w:rsidRDefault="000600B4">
            <w:pPr>
              <w:pStyle w:val="af"/>
              <w:ind w:leftChars="0" w:left="0"/>
              <w:rPr>
                <w:rFonts w:ascii="游明朝" w:eastAsia="游明朝" w:hAnsi="游明朝"/>
              </w:rPr>
            </w:pPr>
          </w:p>
          <w:p w14:paraId="53D2BAE6" w14:textId="77777777" w:rsidR="000600B4" w:rsidRPr="000600B4" w:rsidRDefault="000600B4">
            <w:pPr>
              <w:pStyle w:val="af"/>
              <w:ind w:leftChars="0" w:left="0"/>
              <w:rPr>
                <w:rFonts w:ascii="游明朝" w:eastAsia="游明朝" w:hAnsi="游明朝" w:hint="eastAsia"/>
              </w:rPr>
            </w:pPr>
          </w:p>
          <w:p w14:paraId="4CAC804F" w14:textId="77777777" w:rsidR="00CD5768" w:rsidRDefault="00CD5768">
            <w:pPr>
              <w:pStyle w:val="af"/>
              <w:ind w:leftChars="0" w:left="0"/>
              <w:rPr>
                <w:rFonts w:ascii="游明朝" w:eastAsia="游明朝" w:hAnsi="游明朝"/>
              </w:rPr>
            </w:pPr>
          </w:p>
          <w:p w14:paraId="4CAC8050" w14:textId="77777777" w:rsidR="00CD5768" w:rsidRDefault="00CD5768">
            <w:pPr>
              <w:pStyle w:val="af"/>
              <w:ind w:leftChars="0" w:left="0"/>
              <w:rPr>
                <w:rFonts w:ascii="游明朝" w:eastAsia="游明朝" w:hAnsi="游明朝"/>
              </w:rPr>
            </w:pPr>
          </w:p>
          <w:p w14:paraId="4CAC8051" w14:textId="77777777" w:rsidR="00CD5768" w:rsidRDefault="00CD5768">
            <w:pPr>
              <w:pStyle w:val="af"/>
              <w:ind w:leftChars="0" w:left="0"/>
              <w:rPr>
                <w:rFonts w:ascii="游明朝" w:eastAsia="游明朝" w:hAnsi="游明朝"/>
              </w:rPr>
            </w:pPr>
          </w:p>
          <w:p w14:paraId="4CAC8052" w14:textId="77777777" w:rsidR="00CD5768" w:rsidRDefault="00CD5768">
            <w:pPr>
              <w:pStyle w:val="af"/>
              <w:ind w:leftChars="0" w:left="0"/>
              <w:rPr>
                <w:rFonts w:ascii="游明朝" w:eastAsia="游明朝" w:hAnsi="游明朝"/>
              </w:rPr>
            </w:pPr>
          </w:p>
          <w:p w14:paraId="4CAC8053" w14:textId="77777777" w:rsidR="00CD5768" w:rsidRDefault="00CD5768">
            <w:pPr>
              <w:pStyle w:val="af"/>
              <w:ind w:leftChars="0" w:left="0"/>
              <w:rPr>
                <w:rFonts w:ascii="游明朝" w:eastAsia="游明朝" w:hAnsi="游明朝"/>
              </w:rPr>
            </w:pPr>
          </w:p>
          <w:p w14:paraId="4CAC8054" w14:textId="77777777" w:rsidR="00CD5768" w:rsidRDefault="00CD5768">
            <w:pPr>
              <w:pStyle w:val="af"/>
              <w:ind w:leftChars="0" w:left="0"/>
              <w:rPr>
                <w:rFonts w:ascii="游明朝" w:eastAsia="游明朝" w:hAnsi="游明朝"/>
              </w:rPr>
            </w:pPr>
          </w:p>
        </w:tc>
      </w:tr>
    </w:tbl>
    <w:p w14:paraId="4CAC8056" w14:textId="77777777" w:rsidR="00CD5768" w:rsidRDefault="00CD5768">
      <w:pPr>
        <w:pStyle w:val="a7"/>
        <w:rPr>
          <w:rFonts w:ascii="游明朝" w:eastAsia="游明朝" w:hAnsi="游明朝"/>
        </w:rPr>
      </w:pPr>
    </w:p>
    <w:sectPr w:rsidR="00CD5768">
      <w:pgSz w:w="11906" w:h="16838"/>
      <w:pgMar w:top="1701" w:right="1701" w:bottom="851" w:left="1701" w:header="1418" w:footer="284"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C805B" w14:textId="77777777" w:rsidR="000600B4" w:rsidRDefault="000600B4">
      <w:pPr>
        <w:spacing w:after="0" w:line="240" w:lineRule="auto"/>
      </w:pPr>
      <w:r>
        <w:separator/>
      </w:r>
    </w:p>
  </w:endnote>
  <w:endnote w:type="continuationSeparator" w:id="0">
    <w:p w14:paraId="4CAC805D" w14:textId="77777777" w:rsidR="000600B4" w:rsidRDefault="00060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Cambria"/>
    <w:panose1 w:val="00000000000000000000"/>
    <w:charset w:val="00"/>
    <w:family w:val="roman"/>
    <w:notTrueType/>
    <w:pitch w:val="fixed"/>
    <w:sig w:usb0="00000000" w:usb1="00000000" w:usb2="00000000" w:usb3="00000000" w:csb0="01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C8057" w14:textId="77777777" w:rsidR="000600B4" w:rsidRDefault="000600B4">
      <w:pPr>
        <w:spacing w:after="0" w:line="240" w:lineRule="auto"/>
      </w:pPr>
      <w:r>
        <w:separator/>
      </w:r>
    </w:p>
  </w:footnote>
  <w:footnote w:type="continuationSeparator" w:id="0">
    <w:p w14:paraId="4CAC8059" w14:textId="77777777" w:rsidR="000600B4" w:rsidRDefault="000600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4442D42"/>
    <w:lvl w:ilvl="0" w:tplc="0409000B">
      <w:numFmt w:val="bullet"/>
      <w:lvlText w:val=""/>
      <w:lvlJc w:val="left"/>
      <w:pPr>
        <w:ind w:left="1260" w:hanging="420"/>
      </w:pPr>
      <w:rPr>
        <w:rFonts w:ascii="Wingdings" w:hAnsi="Wingdings" w:hint="default"/>
      </w:rPr>
    </w:lvl>
    <w:lvl w:ilvl="1" w:tplc="0409000B">
      <w:numFmt w:val="bullet"/>
      <w:lvlText w:val=""/>
      <w:lvlJc w:val="left"/>
      <w:pPr>
        <w:ind w:left="1680" w:hanging="420"/>
      </w:pPr>
      <w:rPr>
        <w:rFonts w:ascii="Wingdings" w:hAnsi="Wingdings" w:hint="default"/>
      </w:rPr>
    </w:lvl>
    <w:lvl w:ilvl="2" w:tplc="0409000D">
      <w:numFmt w:val="bullet"/>
      <w:lvlText w:val=""/>
      <w:lvlJc w:val="left"/>
      <w:pPr>
        <w:ind w:left="2100" w:hanging="420"/>
      </w:pPr>
      <w:rPr>
        <w:rFonts w:ascii="Wingdings" w:hAnsi="Wingdings" w:hint="default"/>
      </w:rPr>
    </w:lvl>
    <w:lvl w:ilvl="3" w:tplc="04090001">
      <w:numFmt w:val="bullet"/>
      <w:lvlText w:val=""/>
      <w:lvlJc w:val="left"/>
      <w:pPr>
        <w:ind w:left="2520" w:hanging="420"/>
      </w:pPr>
      <w:rPr>
        <w:rFonts w:ascii="Wingdings" w:hAnsi="Wingdings" w:hint="default"/>
      </w:rPr>
    </w:lvl>
    <w:lvl w:ilvl="4" w:tplc="0409000B">
      <w:numFmt w:val="bullet"/>
      <w:lvlText w:val=""/>
      <w:lvlJc w:val="left"/>
      <w:pPr>
        <w:ind w:left="2940" w:hanging="420"/>
      </w:pPr>
      <w:rPr>
        <w:rFonts w:ascii="Wingdings" w:hAnsi="Wingdings" w:hint="default"/>
      </w:rPr>
    </w:lvl>
    <w:lvl w:ilvl="5" w:tplc="0409000D">
      <w:numFmt w:val="bullet"/>
      <w:lvlText w:val=""/>
      <w:lvlJc w:val="left"/>
      <w:pPr>
        <w:ind w:left="3360" w:hanging="420"/>
      </w:pPr>
      <w:rPr>
        <w:rFonts w:ascii="Wingdings" w:hAnsi="Wingdings" w:hint="default"/>
      </w:rPr>
    </w:lvl>
    <w:lvl w:ilvl="6" w:tplc="04090001">
      <w:numFmt w:val="bullet"/>
      <w:lvlText w:val=""/>
      <w:lvlJc w:val="left"/>
      <w:pPr>
        <w:ind w:left="3780" w:hanging="420"/>
      </w:pPr>
      <w:rPr>
        <w:rFonts w:ascii="Wingdings" w:hAnsi="Wingdings" w:hint="default"/>
      </w:rPr>
    </w:lvl>
    <w:lvl w:ilvl="7" w:tplc="0409000B">
      <w:numFmt w:val="bullet"/>
      <w:lvlText w:val=""/>
      <w:lvlJc w:val="left"/>
      <w:pPr>
        <w:ind w:left="4200" w:hanging="420"/>
      </w:pPr>
      <w:rPr>
        <w:rFonts w:ascii="Wingdings" w:hAnsi="Wingdings" w:hint="default"/>
      </w:rPr>
    </w:lvl>
    <w:lvl w:ilvl="8" w:tplc="0409000D">
      <w:numFmt w:val="bullet"/>
      <w:lvlText w:val=""/>
      <w:lvlJc w:val="left"/>
      <w:pPr>
        <w:ind w:left="4620" w:hanging="420"/>
      </w:pPr>
      <w:rPr>
        <w:rFonts w:ascii="Wingdings" w:hAnsi="Wingdings" w:hint="default"/>
      </w:rPr>
    </w:lvl>
  </w:abstractNum>
  <w:num w:numId="1" w16cid:durableId="1337808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CD5768"/>
    <w:rsid w:val="000600B4"/>
    <w:rsid w:val="00C369CE"/>
    <w:rsid w:val="00CD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AC803C"/>
  <w15:chartTrackingRefBased/>
  <w15:docId w15:val="{9A8AE55C-AF56-4EA2-9F38-DD425E745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TmsRmn" w:hAnsi="TmsRmn"/>
    </w:rPr>
  </w:style>
  <w:style w:type="character" w:customStyle="1" w:styleId="a4">
    <w:name w:val="ヘッダー (文字)"/>
    <w:link w:val="a3"/>
    <w:rPr>
      <w:rFonts w:ascii="TmsRmn" w:hAnsi="TmsRmn"/>
      <w:kern w:val="2"/>
      <w:sz w:val="21"/>
    </w:rPr>
  </w:style>
  <w:style w:type="paragraph" w:styleId="a5">
    <w:name w:val="Date"/>
    <w:basedOn w:val="a"/>
    <w:next w:val="a"/>
    <w:link w:val="a6"/>
  </w:style>
  <w:style w:type="character" w:customStyle="1" w:styleId="a6">
    <w:name w:val="日付 (文字)"/>
    <w:link w:val="a5"/>
    <w:rPr>
      <w:kern w:val="2"/>
      <w:sz w:val="21"/>
    </w:rPr>
  </w:style>
  <w:style w:type="paragraph" w:customStyle="1" w:styleId="a7">
    <w:name w:val="一太郎８/９"/>
    <w:pPr>
      <w:widowControl w:val="0"/>
      <w:wordWrap w:val="0"/>
      <w:autoSpaceDE w:val="0"/>
      <w:autoSpaceDN w:val="0"/>
      <w:adjustRightInd w:val="0"/>
      <w:spacing w:line="316" w:lineRule="atLeast"/>
      <w:jc w:val="both"/>
    </w:pPr>
    <w:rPr>
      <w:rFonts w:ascii="ＭＳ 明朝" w:hAnsi="ＭＳ 明朝"/>
      <w:spacing w:val="2"/>
      <w:sz w:val="22"/>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kern w:val="2"/>
      <w:sz w:val="21"/>
    </w:rPr>
  </w:style>
  <w:style w:type="paragraph" w:styleId="aa">
    <w:name w:val="Closing"/>
    <w:basedOn w:val="a"/>
    <w:link w:val="ab"/>
    <w:pPr>
      <w:jc w:val="right"/>
    </w:pPr>
    <w:rPr>
      <w:color w:val="000000"/>
      <w:sz w:val="22"/>
    </w:rPr>
  </w:style>
  <w:style w:type="character" w:customStyle="1" w:styleId="ab">
    <w:name w:val="結語 (文字)"/>
    <w:link w:val="aa"/>
    <w:rPr>
      <w:color w:val="000000"/>
      <w:kern w:val="2"/>
      <w:sz w:val="22"/>
    </w:rPr>
  </w:style>
  <w:style w:type="paragraph" w:styleId="ac">
    <w:name w:val="Balloon Text"/>
    <w:basedOn w:val="a"/>
    <w:link w:val="ad"/>
    <w:semiHidden/>
    <w:rPr>
      <w:rFonts w:ascii="Arial" w:eastAsia="ＭＳ ゴシック" w:hAnsi="Arial"/>
      <w:sz w:val="18"/>
    </w:rPr>
  </w:style>
  <w:style w:type="character" w:customStyle="1" w:styleId="ad">
    <w:name w:val="吹き出し (文字)"/>
    <w:link w:val="ac"/>
    <w:rPr>
      <w:rFonts w:ascii="Arial" w:eastAsia="ＭＳ ゴシック" w:hAnsi="Arial"/>
      <w:kern w:val="2"/>
      <w:sz w:val="18"/>
    </w:rPr>
  </w:style>
  <w:style w:type="character" w:styleId="ae">
    <w:name w:val="Hyperlink"/>
    <w:rPr>
      <w:color w:val="0000FF"/>
      <w:u w:val="single"/>
    </w:rPr>
  </w:style>
  <w:style w:type="paragraph" w:styleId="af">
    <w:name w:val="List Paragraph"/>
    <w:basedOn w:val="a"/>
    <w:link w:val="af0"/>
    <w:qFormat/>
    <w:pPr>
      <w:ind w:leftChars="400" w:left="840"/>
    </w:pPr>
  </w:style>
  <w:style w:type="character" w:customStyle="1" w:styleId="af0">
    <w:name w:val="リスト段落 (文字)"/>
    <w:link w:val="af"/>
    <w:rPr>
      <w:kern w:val="2"/>
      <w:sz w:val="21"/>
    </w:rPr>
  </w:style>
  <w:style w:type="paragraph" w:styleId="af1">
    <w:name w:val="Note Heading"/>
    <w:basedOn w:val="a"/>
    <w:next w:val="a"/>
    <w:link w:val="af2"/>
    <w:pPr>
      <w:autoSpaceDE w:val="0"/>
      <w:autoSpaceDN w:val="0"/>
      <w:spacing w:line="358" w:lineRule="atLeast"/>
      <w:jc w:val="center"/>
    </w:pPr>
    <w:rPr>
      <w:rFonts w:ascii="ＭＳ 明朝" w:hAnsi="ＭＳ 明朝"/>
      <w:spacing w:val="12"/>
      <w:sz w:val="22"/>
    </w:rPr>
  </w:style>
  <w:style w:type="character" w:customStyle="1" w:styleId="af2">
    <w:name w:val="記 (文字)"/>
    <w:link w:val="af1"/>
    <w:rPr>
      <w:rFonts w:ascii="ＭＳ 明朝" w:hAnsi="ＭＳ 明朝"/>
      <w:spacing w:val="12"/>
      <w:kern w:val="2"/>
      <w:sz w:val="22"/>
    </w:rPr>
  </w:style>
  <w:style w:type="paragraph" w:styleId="af3">
    <w:name w:val="Plain Text"/>
    <w:basedOn w:val="a"/>
    <w:link w:val="af4"/>
    <w:pPr>
      <w:jc w:val="left"/>
    </w:pPr>
    <w:rPr>
      <w:rFonts w:ascii="ＭＳ ゴシック" w:eastAsia="ＭＳ ゴシック" w:hAnsi="ＭＳ ゴシック"/>
      <w:sz w:val="20"/>
    </w:rPr>
  </w:style>
  <w:style w:type="character" w:customStyle="1" w:styleId="af4">
    <w:name w:val="書式なし (文字)"/>
    <w:link w:val="af3"/>
    <w:rPr>
      <w:rFonts w:ascii="ＭＳ ゴシック" w:eastAsia="ＭＳ ゴシック" w:hAnsi="ＭＳ ゴシック"/>
      <w:kern w:val="2"/>
    </w:rPr>
  </w:style>
  <w:style w:type="paragraph" w:styleId="af5">
    <w:name w:val="Revision"/>
    <w:rPr>
      <w:kern w:val="2"/>
      <w:sz w:val="21"/>
    </w:rPr>
  </w:style>
  <w:style w:type="character" w:styleId="af6">
    <w:name w:val="footnote reference"/>
    <w:basedOn w:val="a0"/>
    <w:semiHidden/>
    <w:rPr>
      <w:vertAlign w:val="superscript"/>
    </w:rPr>
  </w:style>
  <w:style w:type="character" w:styleId="af7">
    <w:name w:val="endnote reference"/>
    <w:basedOn w:val="a0"/>
    <w:semiHidden/>
    <w:rPr>
      <w:vertAlign w:val="superscript"/>
    </w:rPr>
  </w:style>
  <w:style w:type="table" w:styleId="af8">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9701621-4963-41fa-b947-20ba23df5b48" xsi:nil="true"/>
    <lcf76f155ced4ddcb4097134ff3c332f xmlns="d1d4ad58-0795-40fb-91ee-5580b26d1ca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36B4E57B40F094ABF4FD855E3D75774" ma:contentTypeVersion="11" ma:contentTypeDescription="新しいドキュメントを作成します。" ma:contentTypeScope="" ma:versionID="db8fdab52fdb2ce6febf81243e90287e">
  <xsd:schema xmlns:xsd="http://www.w3.org/2001/XMLSchema" xmlns:xs="http://www.w3.org/2001/XMLSchema" xmlns:p="http://schemas.microsoft.com/office/2006/metadata/properties" xmlns:ns2="d1d4ad58-0795-40fb-91ee-5580b26d1ca9" xmlns:ns3="19701621-4963-41fa-b947-20ba23df5b48" targetNamespace="http://schemas.microsoft.com/office/2006/metadata/properties" ma:root="true" ma:fieldsID="9abfad0939caa323fadfd1fbf46d3d8e" ns2:_="" ns3:_="">
    <xsd:import namespace="d1d4ad58-0795-40fb-91ee-5580b26d1ca9"/>
    <xsd:import namespace="19701621-4963-41fa-b947-20ba23df5b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d4ad58-0795-40fb-91ee-5580b26d1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9701621-4963-41fa-b947-20ba23df5b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312dae-3838-4d65-9640-1bae6c18b4fa}" ma:internalName="TaxCatchAll" ma:showField="CatchAllData" ma:web="19701621-4963-41fa-b947-20ba23df5b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1C8309-A8DF-4DB8-9726-A41720D0C1B3}">
  <ds:schemaRefs>
    <ds:schemaRef ds:uri="http://schemas.microsoft.com/office/2006/metadata/properties"/>
    <ds:schemaRef ds:uri="http://schemas.microsoft.com/office/infopath/2007/PartnerControls"/>
    <ds:schemaRef ds:uri="19701621-4963-41fa-b947-20ba23df5b48"/>
    <ds:schemaRef ds:uri="d1d4ad58-0795-40fb-91ee-5580b26d1ca9"/>
  </ds:schemaRefs>
</ds:datastoreItem>
</file>

<file path=customXml/itemProps2.xml><?xml version="1.0" encoding="utf-8"?>
<ds:datastoreItem xmlns:ds="http://schemas.openxmlformats.org/officeDocument/2006/customXml" ds:itemID="{0A0C4763-E0F5-4BCC-AC8C-6F16A1B62981}">
  <ds:schemaRefs>
    <ds:schemaRef ds:uri="http://schemas.microsoft.com/sharepoint/v3/contenttype/forms"/>
  </ds:schemaRefs>
</ds:datastoreItem>
</file>

<file path=customXml/itemProps3.xml><?xml version="1.0" encoding="utf-8"?>
<ds:datastoreItem xmlns:ds="http://schemas.openxmlformats.org/officeDocument/2006/customXml" ds:itemID="{9E83BF23-8A10-4D7A-BCD9-764115399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d4ad58-0795-40fb-91ee-5580b26d1ca9"/>
    <ds:schemaRef ds:uri="19701621-4963-41fa-b947-20ba23df5b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384</Characters>
  <Application>Microsoft Office Word</Application>
  <DocSecurity>0</DocSecurity>
  <Lines>3</Lines>
  <Paragraphs>1</Paragraphs>
  <ScaleCrop>false</ScaleCrop>
  <Company>Deloitte</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Sato, Koji 4</cp:lastModifiedBy>
  <cp:revision>1</cp:revision>
  <dcterms:created xsi:type="dcterms:W3CDTF">2025-08-04T03:39:00Z</dcterms:created>
  <dcterms:modified xsi:type="dcterms:W3CDTF">2025-08-04T03:39:00Z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0x010100A36B4E57B40F094ABF4FD855E3D75774</vt:lpwstr>
  </property>
  <property fmtid="{D5CDD505-2E9C-101B-9397-08002B2CF9AE}" pid="3" name="MSIP_Label_ea60d57e-af5b-4752-ac57-3e4f28ca11dc_ActionId">
    <vt:lpwstr>b5e5013e-0e05-4b88-8a7f-9a0aa9d7e4bb</vt:lpwstr>
  </property>
  <property fmtid="{D5CDD505-2E9C-101B-9397-08002B2CF9AE}" pid="4" name="MSIP_Label_ea60d57e-af5b-4752-ac57-3e4f28ca11dc_ContentBits">
    <vt:lpwstr>0</vt:lpwstr>
  </property>
  <property fmtid="{D5CDD505-2E9C-101B-9397-08002B2CF9AE}" pid="5" name="MSIP_Label_ea60d57e-af5b-4752-ac57-3e4f28ca11dc_Enabled">
    <vt:lpwstr>true</vt:lpwstr>
  </property>
  <property fmtid="{D5CDD505-2E9C-101B-9397-08002B2CF9AE}" pid="6" name="MSIP_Label_ea60d57e-af5b-4752-ac57-3e4f28ca11dc_Method">
    <vt:lpwstr>Standard</vt:lpwstr>
  </property>
  <property fmtid="{D5CDD505-2E9C-101B-9397-08002B2CF9AE}" pid="7" name="MSIP_Label_ea60d57e-af5b-4752-ac57-3e4f28ca11dc_Name">
    <vt:lpwstr>ea60d57e-af5b-4752-ac57-3e4f28ca11dc</vt:lpwstr>
  </property>
  <property fmtid="{D5CDD505-2E9C-101B-9397-08002B2CF9AE}" pid="8" name="MSIP_Label_ea60d57e-af5b-4752-ac57-3e4f28ca11dc_SetDate">
    <vt:lpwstr>2025-05-08T11:22:54Z</vt:lpwstr>
  </property>
  <property fmtid="{D5CDD505-2E9C-101B-9397-08002B2CF9AE}" pid="9" name="MSIP_Label_ea60d57e-af5b-4752-ac57-3e4f28ca11dc_SiteId">
    <vt:lpwstr>36da45f1-dd2c-4d1f-af13-5abe46b99921</vt:lpwstr>
  </property>
  <property fmtid="{D5CDD505-2E9C-101B-9397-08002B2CF9AE}" pid="10" name="MediaServiceImageTags">
    <vt:lpwstr/>
  </property>
</Properties>
</file>